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E6" w:rsidRPr="00233EC1" w:rsidRDefault="00FA30E6" w:rsidP="003E4575">
      <w:pPr>
        <w:jc w:val="center"/>
        <w:rPr>
          <w:rFonts w:ascii="Verdana" w:hAnsi="Verdana" w:cs="Arial"/>
          <w:b/>
          <w:sz w:val="24"/>
          <w:szCs w:val="24"/>
        </w:rPr>
      </w:pPr>
      <w:r w:rsidRPr="00233EC1">
        <w:rPr>
          <w:rFonts w:ascii="Verdana" w:hAnsi="Verdana" w:cs="Arial"/>
          <w:b/>
          <w:sz w:val="24"/>
          <w:szCs w:val="24"/>
        </w:rPr>
        <w:t>RELATÓRIO DE ATIVIDADE</w:t>
      </w:r>
    </w:p>
    <w:tbl>
      <w:tblPr>
        <w:tblW w:w="97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/>
      </w:tblPr>
      <w:tblGrid>
        <w:gridCol w:w="1731"/>
        <w:gridCol w:w="2409"/>
        <w:gridCol w:w="2127"/>
        <w:gridCol w:w="1149"/>
        <w:gridCol w:w="1134"/>
        <w:gridCol w:w="1210"/>
      </w:tblGrid>
      <w:tr w:rsidR="00FA30E6" w:rsidRPr="00233EC1" w:rsidTr="00EA710C">
        <w:tc>
          <w:tcPr>
            <w:tcW w:w="1731" w:type="dxa"/>
            <w:shd w:val="clear" w:color="auto" w:fill="FFFFFF"/>
          </w:tcPr>
          <w:p w:rsidR="00FA30E6" w:rsidRPr="00233EC1" w:rsidRDefault="00FA30E6" w:rsidP="003E4575">
            <w:pPr>
              <w:spacing w:after="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FA30E6" w:rsidRPr="00233EC1" w:rsidRDefault="00FA30E6" w:rsidP="003E4575">
            <w:pPr>
              <w:spacing w:after="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33EC1">
              <w:rPr>
                <w:rFonts w:ascii="Verdana" w:hAnsi="Verdana" w:cs="Arial"/>
                <w:b/>
                <w:sz w:val="24"/>
                <w:szCs w:val="24"/>
              </w:rPr>
              <w:t>Atividade</w:t>
            </w:r>
          </w:p>
          <w:p w:rsidR="00FA30E6" w:rsidRPr="00233EC1" w:rsidRDefault="00FA30E6" w:rsidP="003E4575">
            <w:pPr>
              <w:spacing w:after="0"/>
              <w:rPr>
                <w:rFonts w:ascii="Verdana" w:hAnsi="Verdana" w:cs="Arial"/>
                <w:sz w:val="24"/>
                <w:szCs w:val="24"/>
              </w:rPr>
            </w:pPr>
          </w:p>
          <w:p w:rsidR="00FA30E6" w:rsidRPr="00233EC1" w:rsidRDefault="00FA30E6" w:rsidP="003E4575">
            <w:pPr>
              <w:spacing w:after="0"/>
              <w:rPr>
                <w:rFonts w:ascii="Verdana" w:hAnsi="Verdana" w:cs="Arial"/>
                <w:sz w:val="24"/>
                <w:szCs w:val="24"/>
              </w:rPr>
            </w:pPr>
          </w:p>
          <w:p w:rsidR="00FA30E6" w:rsidRPr="00233EC1" w:rsidRDefault="00FA30E6" w:rsidP="003E4575">
            <w:pPr>
              <w:spacing w:after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FA30E6" w:rsidRPr="00233EC1" w:rsidRDefault="00FA30E6" w:rsidP="003E4575">
            <w:pPr>
              <w:spacing w:after="0"/>
              <w:rPr>
                <w:rFonts w:ascii="Verdana" w:hAnsi="Verdana" w:cs="Arial"/>
                <w:sz w:val="24"/>
                <w:szCs w:val="24"/>
              </w:rPr>
            </w:pPr>
          </w:p>
          <w:p w:rsidR="00FA30E6" w:rsidRPr="00233EC1" w:rsidRDefault="00DB55BE" w:rsidP="003C7CA0">
            <w:pPr>
              <w:spacing w:after="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Visita técnica</w:t>
            </w:r>
          </w:p>
        </w:tc>
        <w:tc>
          <w:tcPr>
            <w:tcW w:w="2127" w:type="dxa"/>
            <w:shd w:val="clear" w:color="auto" w:fill="FFFFFF"/>
          </w:tcPr>
          <w:p w:rsidR="00FA30E6" w:rsidRPr="00233EC1" w:rsidRDefault="00FA30E6" w:rsidP="003E4575">
            <w:pPr>
              <w:spacing w:after="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FA30E6" w:rsidRPr="00233EC1" w:rsidRDefault="00FA30E6" w:rsidP="003E4575">
            <w:pPr>
              <w:spacing w:after="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33EC1">
              <w:rPr>
                <w:rFonts w:ascii="Verdana" w:hAnsi="Verdana" w:cs="Arial"/>
                <w:b/>
                <w:sz w:val="24"/>
                <w:szCs w:val="24"/>
              </w:rPr>
              <w:t xml:space="preserve">Local </w:t>
            </w:r>
          </w:p>
        </w:tc>
        <w:tc>
          <w:tcPr>
            <w:tcW w:w="3493" w:type="dxa"/>
            <w:gridSpan w:val="3"/>
            <w:shd w:val="clear" w:color="auto" w:fill="FFFFFF"/>
          </w:tcPr>
          <w:p w:rsidR="00FA30E6" w:rsidRPr="00233EC1" w:rsidRDefault="00FA30E6" w:rsidP="003E4575">
            <w:pPr>
              <w:spacing w:after="0"/>
              <w:rPr>
                <w:rFonts w:ascii="Verdana" w:hAnsi="Verdana" w:cs="Arial"/>
                <w:sz w:val="24"/>
                <w:szCs w:val="24"/>
              </w:rPr>
            </w:pPr>
          </w:p>
          <w:p w:rsidR="00FA30E6" w:rsidRPr="00233EC1" w:rsidRDefault="003C7CA0" w:rsidP="003E4575">
            <w:pPr>
              <w:spacing w:after="0"/>
              <w:rPr>
                <w:rFonts w:ascii="Verdana" w:hAnsi="Verdana" w:cs="Arial"/>
                <w:sz w:val="24"/>
                <w:szCs w:val="24"/>
              </w:rPr>
            </w:pPr>
            <w:r w:rsidRPr="00233EC1">
              <w:rPr>
                <w:rFonts w:ascii="Verdana" w:hAnsi="Verdana" w:cs="Arial"/>
                <w:sz w:val="24"/>
                <w:szCs w:val="24"/>
              </w:rPr>
              <w:t>Comunidade Guarita município de Teixeira - PB</w:t>
            </w:r>
          </w:p>
        </w:tc>
      </w:tr>
      <w:tr w:rsidR="00FA30E6" w:rsidRPr="00233EC1" w:rsidTr="003C7CA0">
        <w:trPr>
          <w:trHeight w:val="405"/>
        </w:trPr>
        <w:tc>
          <w:tcPr>
            <w:tcW w:w="1731" w:type="dxa"/>
            <w:vMerge w:val="restart"/>
            <w:shd w:val="clear" w:color="auto" w:fill="FFFFFF"/>
          </w:tcPr>
          <w:p w:rsidR="00FA30E6" w:rsidRPr="00233EC1" w:rsidRDefault="00FA30E6" w:rsidP="003E4575">
            <w:pPr>
              <w:spacing w:after="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33EC1">
              <w:rPr>
                <w:rFonts w:ascii="Verdana" w:hAnsi="Verdana" w:cs="Arial"/>
                <w:b/>
                <w:sz w:val="24"/>
                <w:szCs w:val="24"/>
              </w:rPr>
              <w:t>Data (as)</w:t>
            </w:r>
          </w:p>
          <w:p w:rsidR="00FA30E6" w:rsidRPr="00233EC1" w:rsidRDefault="00FA30E6" w:rsidP="003E4575">
            <w:pPr>
              <w:spacing w:after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FA30E6" w:rsidRPr="00233EC1" w:rsidRDefault="003C7CA0" w:rsidP="003E4575">
            <w:pPr>
              <w:spacing w:after="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33EC1">
              <w:rPr>
                <w:rFonts w:ascii="Verdana" w:hAnsi="Verdana" w:cs="Arial"/>
                <w:sz w:val="24"/>
                <w:szCs w:val="24"/>
              </w:rPr>
              <w:t>06/06 a 06/07 de 2015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FA30E6" w:rsidRPr="00233EC1" w:rsidRDefault="00FA30E6" w:rsidP="003E4575">
            <w:pPr>
              <w:spacing w:after="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33EC1">
              <w:rPr>
                <w:rFonts w:ascii="Verdana" w:hAnsi="Verdana" w:cs="Arial"/>
                <w:b/>
                <w:sz w:val="24"/>
                <w:szCs w:val="24"/>
              </w:rPr>
              <w:t>Participantes</w:t>
            </w:r>
          </w:p>
        </w:tc>
        <w:tc>
          <w:tcPr>
            <w:tcW w:w="1149" w:type="dxa"/>
            <w:shd w:val="clear" w:color="auto" w:fill="FFFFFF"/>
          </w:tcPr>
          <w:p w:rsidR="00FA30E6" w:rsidRPr="00233EC1" w:rsidRDefault="00FA30E6" w:rsidP="003E4575">
            <w:pPr>
              <w:spacing w:after="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33EC1">
              <w:rPr>
                <w:rFonts w:ascii="Verdana" w:hAnsi="Verdana" w:cs="Arial"/>
                <w:b/>
                <w:sz w:val="24"/>
                <w:szCs w:val="24"/>
              </w:rPr>
              <w:t>M</w:t>
            </w:r>
          </w:p>
        </w:tc>
        <w:tc>
          <w:tcPr>
            <w:tcW w:w="1134" w:type="dxa"/>
            <w:shd w:val="clear" w:color="auto" w:fill="FFFFFF"/>
          </w:tcPr>
          <w:p w:rsidR="00FA30E6" w:rsidRPr="00233EC1" w:rsidRDefault="00FA30E6" w:rsidP="003E4575">
            <w:pPr>
              <w:spacing w:after="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33EC1">
              <w:rPr>
                <w:rFonts w:ascii="Verdana" w:hAnsi="Verdana" w:cs="Arial"/>
                <w:b/>
                <w:sz w:val="24"/>
                <w:szCs w:val="24"/>
              </w:rPr>
              <w:t>F</w:t>
            </w:r>
          </w:p>
        </w:tc>
        <w:tc>
          <w:tcPr>
            <w:tcW w:w="1210" w:type="dxa"/>
            <w:shd w:val="clear" w:color="auto" w:fill="FFFFFF"/>
          </w:tcPr>
          <w:p w:rsidR="00FA30E6" w:rsidRPr="00233EC1" w:rsidRDefault="00FA30E6" w:rsidP="003E4575">
            <w:pPr>
              <w:spacing w:after="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33EC1">
              <w:rPr>
                <w:rFonts w:ascii="Verdana" w:hAnsi="Verdana" w:cs="Arial"/>
                <w:b/>
                <w:sz w:val="24"/>
                <w:szCs w:val="24"/>
              </w:rPr>
              <w:t>TOTAL</w:t>
            </w:r>
          </w:p>
        </w:tc>
      </w:tr>
      <w:tr w:rsidR="00FA30E6" w:rsidRPr="00233EC1" w:rsidTr="003C7CA0">
        <w:trPr>
          <w:trHeight w:val="386"/>
        </w:trPr>
        <w:tc>
          <w:tcPr>
            <w:tcW w:w="1731" w:type="dxa"/>
            <w:vMerge/>
            <w:shd w:val="clear" w:color="auto" w:fill="FFFFFF"/>
          </w:tcPr>
          <w:p w:rsidR="00FA30E6" w:rsidRPr="00233EC1" w:rsidRDefault="00FA30E6" w:rsidP="003E4575">
            <w:pPr>
              <w:spacing w:after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FA30E6" w:rsidRPr="00233EC1" w:rsidRDefault="00FA30E6" w:rsidP="003E4575">
            <w:pPr>
              <w:spacing w:after="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FA30E6" w:rsidRPr="00233EC1" w:rsidRDefault="00FA30E6" w:rsidP="003E4575">
            <w:pPr>
              <w:spacing w:after="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FFFFFF"/>
          </w:tcPr>
          <w:p w:rsidR="00FA30E6" w:rsidRPr="00233EC1" w:rsidRDefault="00851C03" w:rsidP="003E4575">
            <w:pPr>
              <w:spacing w:after="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gramStart"/>
            <w:r w:rsidRPr="00233EC1">
              <w:rPr>
                <w:rFonts w:ascii="Verdana" w:hAnsi="Verdana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FA30E6" w:rsidRPr="00233EC1" w:rsidRDefault="00851C03" w:rsidP="003E4575">
            <w:pPr>
              <w:spacing w:after="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gramStart"/>
            <w:r w:rsidRPr="00233EC1">
              <w:rPr>
                <w:rFonts w:ascii="Verdana" w:hAnsi="Verdana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0" w:type="dxa"/>
            <w:shd w:val="clear" w:color="auto" w:fill="FFFFFF"/>
          </w:tcPr>
          <w:p w:rsidR="00FA30E6" w:rsidRPr="00233EC1" w:rsidRDefault="00851C03" w:rsidP="003E4575">
            <w:pPr>
              <w:spacing w:after="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gramStart"/>
            <w:r w:rsidRPr="00233EC1">
              <w:rPr>
                <w:rFonts w:ascii="Verdana" w:hAnsi="Verdana" w:cs="Arial"/>
                <w:b/>
                <w:sz w:val="24"/>
                <w:szCs w:val="24"/>
              </w:rPr>
              <w:t>5</w:t>
            </w:r>
            <w:proofErr w:type="gramEnd"/>
          </w:p>
        </w:tc>
      </w:tr>
      <w:tr w:rsidR="00FA30E6" w:rsidRPr="00233EC1" w:rsidTr="00EA710C">
        <w:tblPrEx>
          <w:shd w:val="clear" w:color="auto" w:fill="auto"/>
        </w:tblPrEx>
        <w:trPr>
          <w:trHeight w:val="951"/>
        </w:trPr>
        <w:tc>
          <w:tcPr>
            <w:tcW w:w="9760" w:type="dxa"/>
            <w:gridSpan w:val="6"/>
          </w:tcPr>
          <w:p w:rsidR="00FA30E6" w:rsidRPr="00233EC1" w:rsidRDefault="00FA30E6" w:rsidP="003E4575">
            <w:pPr>
              <w:spacing w:after="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:rsidR="00FA30E6" w:rsidRPr="00233EC1" w:rsidRDefault="00FA30E6" w:rsidP="003C7CA0">
            <w:pPr>
              <w:spacing w:after="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FA30E6" w:rsidRPr="00233EC1" w:rsidTr="009E5C57">
        <w:tblPrEx>
          <w:shd w:val="clear" w:color="auto" w:fill="auto"/>
        </w:tblPrEx>
        <w:trPr>
          <w:trHeight w:val="12975"/>
        </w:trPr>
        <w:tc>
          <w:tcPr>
            <w:tcW w:w="9760" w:type="dxa"/>
            <w:gridSpan w:val="6"/>
          </w:tcPr>
          <w:p w:rsidR="00851C03" w:rsidRPr="00233EC1" w:rsidRDefault="00851C03" w:rsidP="003E4575">
            <w:pPr>
              <w:spacing w:after="0"/>
              <w:ind w:left="454"/>
              <w:jc w:val="center"/>
              <w:rPr>
                <w:rFonts w:ascii="Verdana" w:hAnsi="Verdana"/>
                <w:b/>
              </w:rPr>
            </w:pPr>
          </w:p>
          <w:p w:rsidR="003C7CA0" w:rsidRPr="00233EC1" w:rsidRDefault="00233EC1" w:rsidP="003E4575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 período de 06 de junho</w:t>
            </w:r>
            <w:r w:rsidR="003C7CA0" w:rsidRPr="00233EC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FA30E6" w:rsidRPr="00233EC1">
              <w:rPr>
                <w:rFonts w:ascii="Verdana" w:hAnsi="Verdana" w:cs="Arial"/>
                <w:sz w:val="24"/>
                <w:szCs w:val="24"/>
              </w:rPr>
              <w:t>a 07 de julho de 2015</w:t>
            </w:r>
            <w:r>
              <w:rPr>
                <w:rFonts w:ascii="Verdana" w:hAnsi="Verdana" w:cs="Arial"/>
                <w:sz w:val="24"/>
                <w:szCs w:val="24"/>
              </w:rPr>
              <w:t>,</w:t>
            </w:r>
            <w:r w:rsidR="00FA30E6" w:rsidRPr="00233EC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Pr="00233EC1">
              <w:rPr>
                <w:rFonts w:ascii="Verdana" w:hAnsi="Verdana" w:cs="Arial"/>
                <w:sz w:val="24"/>
                <w:szCs w:val="24"/>
              </w:rPr>
              <w:t>na comunidade Gu</w:t>
            </w:r>
            <w:r>
              <w:rPr>
                <w:rFonts w:ascii="Verdana" w:hAnsi="Verdana" w:cs="Arial"/>
                <w:sz w:val="24"/>
                <w:szCs w:val="24"/>
              </w:rPr>
              <w:t xml:space="preserve">arita município de Teixeira, na residência do agricultor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Otaciano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Francelino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>,</w:t>
            </w:r>
            <w:r w:rsidRPr="00233EC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FA30E6" w:rsidRPr="00233EC1">
              <w:rPr>
                <w:rFonts w:ascii="Verdana" w:hAnsi="Verdana" w:cs="Arial"/>
                <w:sz w:val="24"/>
                <w:szCs w:val="24"/>
              </w:rPr>
              <w:t xml:space="preserve">foram analisados dois canteiros com economia de água, um em uma horta com </w:t>
            </w:r>
            <w:proofErr w:type="spellStart"/>
            <w:r w:rsidR="00FA30E6" w:rsidRPr="00233EC1">
              <w:rPr>
                <w:rFonts w:ascii="Verdana" w:hAnsi="Verdana" w:cs="Arial"/>
                <w:sz w:val="24"/>
                <w:szCs w:val="24"/>
              </w:rPr>
              <w:t>sombrit</w:t>
            </w:r>
            <w:r>
              <w:rPr>
                <w:rFonts w:ascii="Verdana" w:hAnsi="Verdana" w:cs="Arial"/>
                <w:sz w:val="24"/>
                <w:szCs w:val="24"/>
              </w:rPr>
              <w:t>e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487C02" w:rsidRPr="00233EC1">
              <w:rPr>
                <w:rFonts w:ascii="Verdana" w:hAnsi="Verdana" w:cs="Arial"/>
                <w:sz w:val="24"/>
                <w:szCs w:val="24"/>
              </w:rPr>
              <w:t>50%</w:t>
            </w:r>
            <w:r w:rsidR="00FA30E6" w:rsidRPr="00233EC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sz w:val="24"/>
                <w:szCs w:val="24"/>
              </w:rPr>
              <w:t>de sombreamento, e outro</w:t>
            </w:r>
            <w:r w:rsidR="00FA30E6" w:rsidRPr="00233EC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sz w:val="24"/>
                <w:szCs w:val="24"/>
              </w:rPr>
              <w:t xml:space="preserve">em horta </w:t>
            </w:r>
            <w:r w:rsidR="00FA30E6" w:rsidRPr="00233EC1">
              <w:rPr>
                <w:rFonts w:ascii="Verdana" w:hAnsi="Verdana" w:cs="Arial"/>
                <w:sz w:val="24"/>
                <w:szCs w:val="24"/>
              </w:rPr>
              <w:t>sem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sombrite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>.</w:t>
            </w:r>
          </w:p>
          <w:p w:rsidR="002D3E54" w:rsidRPr="00233EC1" w:rsidRDefault="002D3E54" w:rsidP="002D3E54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Trinta dias depois, a</w:t>
            </w:r>
            <w:r w:rsidRPr="00233EC1">
              <w:rPr>
                <w:rFonts w:ascii="Verdana" w:hAnsi="Verdana" w:cs="Arial"/>
                <w:sz w:val="24"/>
                <w:szCs w:val="24"/>
              </w:rPr>
              <w:t xml:space="preserve">través da lista de acompanhamento do consumo </w:t>
            </w:r>
            <w:r>
              <w:rPr>
                <w:rFonts w:ascii="Verdana" w:hAnsi="Verdana" w:cs="Arial"/>
                <w:sz w:val="24"/>
                <w:szCs w:val="24"/>
              </w:rPr>
              <w:t>diário de água das plantas pode-se fazer o cá</w:t>
            </w:r>
            <w:r w:rsidRPr="00233EC1">
              <w:rPr>
                <w:rFonts w:ascii="Verdana" w:hAnsi="Verdana" w:cs="Arial"/>
                <w:sz w:val="24"/>
                <w:szCs w:val="24"/>
              </w:rPr>
              <w:t>lculo da quantidade de água consumida em cada canteiro durante o período.</w:t>
            </w:r>
          </w:p>
          <w:p w:rsidR="002D3E54" w:rsidRPr="00233EC1" w:rsidRDefault="002D3E54" w:rsidP="002D3E54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233EC1">
              <w:rPr>
                <w:rFonts w:ascii="Verdana" w:hAnsi="Verdana" w:cs="Arial"/>
                <w:sz w:val="24"/>
                <w:szCs w:val="24"/>
              </w:rPr>
              <w:t xml:space="preserve">O canteiro da horta sem </w:t>
            </w:r>
            <w:proofErr w:type="spellStart"/>
            <w:r w:rsidRPr="00233EC1">
              <w:rPr>
                <w:rFonts w:ascii="Verdana" w:hAnsi="Verdana" w:cs="Arial"/>
                <w:sz w:val="24"/>
                <w:szCs w:val="24"/>
              </w:rPr>
              <w:t>sombrit</w:t>
            </w:r>
            <w:proofErr w:type="spellEnd"/>
            <w:r w:rsidRPr="00233EC1">
              <w:rPr>
                <w:rFonts w:ascii="Verdana" w:hAnsi="Verdana" w:cs="Arial"/>
                <w:sz w:val="24"/>
                <w:szCs w:val="24"/>
              </w:rPr>
              <w:t xml:space="preserve"> consumiu 520 litros de ág</w:t>
            </w:r>
            <w:r>
              <w:rPr>
                <w:rFonts w:ascii="Verdana" w:hAnsi="Verdana" w:cs="Arial"/>
                <w:sz w:val="24"/>
                <w:szCs w:val="24"/>
              </w:rPr>
              <w:t xml:space="preserve">ua enquanto a horta com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sombrit</w:t>
            </w:r>
            <w:proofErr w:type="spellEnd"/>
            <w:r w:rsidRPr="00233EC1">
              <w:rPr>
                <w:rFonts w:ascii="Verdana" w:hAnsi="Verdana" w:cs="Arial"/>
                <w:sz w:val="24"/>
                <w:szCs w:val="24"/>
              </w:rPr>
              <w:t xml:space="preserve"> consumiu apenas 200 litros de água resultando em uma diferença de 220 litros, uma economia de 62% do consumo de água em relação ao canteiro da horta sem </w:t>
            </w:r>
            <w:proofErr w:type="spellStart"/>
            <w:r w:rsidRPr="00233EC1">
              <w:rPr>
                <w:rFonts w:ascii="Verdana" w:hAnsi="Verdana" w:cs="Arial"/>
                <w:sz w:val="24"/>
                <w:szCs w:val="24"/>
              </w:rPr>
              <w:t>sombrit</w:t>
            </w:r>
            <w:proofErr w:type="spellEnd"/>
            <w:r w:rsidRPr="00233EC1">
              <w:rPr>
                <w:rFonts w:ascii="Verdana" w:hAnsi="Verdana" w:cs="Arial"/>
                <w:sz w:val="24"/>
                <w:szCs w:val="24"/>
              </w:rPr>
              <w:t xml:space="preserve">. </w:t>
            </w:r>
          </w:p>
          <w:p w:rsidR="002D3E54" w:rsidRPr="00233EC1" w:rsidRDefault="002D3E54" w:rsidP="002D3E54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Na base de cá</w:t>
            </w:r>
            <w:r w:rsidRPr="00233EC1">
              <w:rPr>
                <w:rFonts w:ascii="Verdana" w:hAnsi="Verdana" w:cs="Arial"/>
                <w:sz w:val="24"/>
                <w:szCs w:val="24"/>
              </w:rPr>
              <w:t xml:space="preserve">lculo o canteiro sem </w:t>
            </w:r>
            <w:proofErr w:type="spellStart"/>
            <w:r w:rsidRPr="00233EC1">
              <w:rPr>
                <w:rFonts w:ascii="Verdana" w:hAnsi="Verdana" w:cs="Arial"/>
                <w:sz w:val="24"/>
                <w:szCs w:val="24"/>
              </w:rPr>
              <w:t>sombrit</w:t>
            </w:r>
            <w:proofErr w:type="spellEnd"/>
            <w:r w:rsidRPr="00233EC1">
              <w:rPr>
                <w:rFonts w:ascii="Verdana" w:hAnsi="Verdana" w:cs="Arial"/>
                <w:sz w:val="24"/>
                <w:szCs w:val="24"/>
              </w:rPr>
              <w:t xml:space="preserve"> consumiu </w:t>
            </w:r>
            <w:r>
              <w:rPr>
                <w:rFonts w:ascii="Verdana" w:hAnsi="Verdana" w:cs="Arial"/>
                <w:sz w:val="24"/>
                <w:szCs w:val="24"/>
              </w:rPr>
              <w:t xml:space="preserve">diariamente </w:t>
            </w:r>
            <w:r w:rsidRPr="00233EC1">
              <w:rPr>
                <w:rFonts w:ascii="Verdana" w:hAnsi="Verdana" w:cs="Arial"/>
                <w:sz w:val="24"/>
                <w:szCs w:val="24"/>
              </w:rPr>
              <w:t xml:space="preserve">em média </w:t>
            </w:r>
            <w:proofErr w:type="gramStart"/>
            <w:r>
              <w:rPr>
                <w:rFonts w:ascii="Verdana" w:hAnsi="Verdana" w:cs="Arial"/>
                <w:sz w:val="24"/>
                <w:szCs w:val="24"/>
              </w:rPr>
              <w:t>17.3 litro</w:t>
            </w:r>
            <w:proofErr w:type="gramEnd"/>
            <w:r w:rsidRPr="00233EC1">
              <w:rPr>
                <w:rFonts w:ascii="Verdana" w:hAnsi="Verdana" w:cs="Arial"/>
                <w:sz w:val="24"/>
                <w:szCs w:val="24"/>
              </w:rPr>
              <w:t xml:space="preserve"> de água ou 130 litros semanais enquanto o canteiro na horta com </w:t>
            </w:r>
            <w:proofErr w:type="spellStart"/>
            <w:r w:rsidRPr="00233EC1">
              <w:rPr>
                <w:rFonts w:ascii="Verdana" w:hAnsi="Verdana" w:cs="Arial"/>
                <w:sz w:val="24"/>
                <w:szCs w:val="24"/>
              </w:rPr>
              <w:t>sombrit</w:t>
            </w:r>
            <w:proofErr w:type="spellEnd"/>
            <w:r w:rsidRPr="00233EC1">
              <w:rPr>
                <w:rFonts w:ascii="Verdana" w:hAnsi="Verdana" w:cs="Arial"/>
                <w:sz w:val="24"/>
                <w:szCs w:val="24"/>
              </w:rPr>
              <w:t xml:space="preserve"> consumiu em média 6.6 litros de águ</w:t>
            </w:r>
            <w:r>
              <w:rPr>
                <w:rFonts w:ascii="Verdana" w:hAnsi="Verdana" w:cs="Arial"/>
                <w:sz w:val="24"/>
                <w:szCs w:val="24"/>
              </w:rPr>
              <w:t xml:space="preserve">a, </w:t>
            </w:r>
            <w:r w:rsidRPr="00233EC1">
              <w:rPr>
                <w:rFonts w:ascii="Verdana" w:hAnsi="Verdana" w:cs="Arial"/>
                <w:sz w:val="24"/>
                <w:szCs w:val="24"/>
              </w:rPr>
              <w:t xml:space="preserve">ou 50 litros semanais. </w:t>
            </w:r>
          </w:p>
          <w:p w:rsidR="002D3E54" w:rsidRPr="00233EC1" w:rsidRDefault="002D3E54" w:rsidP="002D3E54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Essa análise mostrou</w:t>
            </w:r>
            <w:r w:rsidRPr="00233EC1">
              <w:rPr>
                <w:rFonts w:ascii="Verdana" w:hAnsi="Verdana" w:cs="Arial"/>
                <w:sz w:val="24"/>
                <w:szCs w:val="24"/>
              </w:rPr>
              <w:t xml:space="preserve"> as vantagens que o </w:t>
            </w:r>
            <w:proofErr w:type="spellStart"/>
            <w:r w:rsidRPr="00233EC1">
              <w:rPr>
                <w:rFonts w:ascii="Verdana" w:hAnsi="Verdana" w:cs="Arial"/>
                <w:sz w:val="24"/>
                <w:szCs w:val="24"/>
              </w:rPr>
              <w:t>sombrit</w:t>
            </w:r>
            <w:proofErr w:type="spellEnd"/>
            <w:r w:rsidRPr="00233EC1">
              <w:rPr>
                <w:rFonts w:ascii="Verdana" w:hAnsi="Verdana" w:cs="Arial"/>
                <w:sz w:val="24"/>
                <w:szCs w:val="24"/>
              </w:rPr>
              <w:t xml:space="preserve"> traz no termo economia de água para as famílias.</w:t>
            </w:r>
          </w:p>
          <w:p w:rsidR="002D3E54" w:rsidRPr="00233EC1" w:rsidRDefault="002D3E54" w:rsidP="002D3E54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233EC1">
              <w:rPr>
                <w:rFonts w:ascii="Verdana" w:hAnsi="Verdana" w:cs="Arial"/>
                <w:sz w:val="24"/>
                <w:szCs w:val="24"/>
              </w:rPr>
              <w:t xml:space="preserve">Pegando como base de cálculos os dados apresentados se uma família que tem uma cisterna de enxurrada com capacidade para acumular 52 mil litros de água e que tem um sistema simplificado com </w:t>
            </w:r>
            <w:proofErr w:type="gramStart"/>
            <w:r w:rsidRPr="00233EC1">
              <w:rPr>
                <w:rFonts w:ascii="Verdana" w:hAnsi="Verdana" w:cs="Arial"/>
                <w:sz w:val="24"/>
                <w:szCs w:val="24"/>
              </w:rPr>
              <w:t>4</w:t>
            </w:r>
            <w:proofErr w:type="gramEnd"/>
            <w:r w:rsidRPr="00233EC1">
              <w:rPr>
                <w:rFonts w:ascii="Verdana" w:hAnsi="Verdana" w:cs="Arial"/>
                <w:sz w:val="24"/>
                <w:szCs w:val="24"/>
              </w:rPr>
              <w:t xml:space="preserve"> canteiros econômicos com dimensões de 6 metros de comprimento e 1,20 de largura produzindo em uma horta sem sombrit gastaria em 12 messes 6.240 litros de água enquanto se utilizado a mesma quantidade de canteiros em um sistema com sombrit de 50% o gasto de água seria de 2.400 litros  de água. Fazendo o comparativo a economia seria de 3.840 litros de água, volume esse que seria suficiente, por exemplo, para suprir o consumo diário de água de 53 galinhas durante 12 meses.</w:t>
            </w:r>
          </w:p>
          <w:p w:rsidR="002D3E54" w:rsidRPr="00233EC1" w:rsidRDefault="002D3E54" w:rsidP="002D3E54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Ficou evidenciado que o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sombrit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 xml:space="preserve"> é</w:t>
            </w:r>
            <w:r w:rsidRPr="00233EC1">
              <w:rPr>
                <w:rFonts w:ascii="Verdana" w:hAnsi="Verdana" w:cs="Arial"/>
                <w:sz w:val="24"/>
                <w:szCs w:val="24"/>
              </w:rPr>
              <w:t xml:space="preserve"> uma tecnologia alternativa de suma importância para produção de hortaliças em virtude da economia de água que traz para as famílias o que possibilita que as mesmas produzam por um período maior.</w:t>
            </w:r>
          </w:p>
          <w:p w:rsidR="003C7CA0" w:rsidRDefault="00FA30E6" w:rsidP="003E4575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233EC1">
              <w:rPr>
                <w:rFonts w:ascii="Verdana" w:hAnsi="Verdana" w:cs="Arial"/>
                <w:sz w:val="24"/>
                <w:szCs w:val="24"/>
              </w:rPr>
              <w:t>As culturas cultivada</w:t>
            </w:r>
            <w:r w:rsidR="003C7CA0" w:rsidRPr="00233EC1">
              <w:rPr>
                <w:rFonts w:ascii="Verdana" w:hAnsi="Verdana" w:cs="Arial"/>
                <w:sz w:val="24"/>
                <w:szCs w:val="24"/>
              </w:rPr>
              <w:t xml:space="preserve">s foram </w:t>
            </w:r>
            <w:r w:rsidR="00233EC1">
              <w:rPr>
                <w:rFonts w:ascii="Verdana" w:hAnsi="Verdana" w:cs="Arial"/>
                <w:sz w:val="24"/>
                <w:szCs w:val="24"/>
              </w:rPr>
              <w:t>as seguintes: c</w:t>
            </w:r>
            <w:r w:rsidR="003C7CA0" w:rsidRPr="00233EC1">
              <w:rPr>
                <w:rFonts w:ascii="Verdana" w:hAnsi="Verdana" w:cs="Arial"/>
                <w:sz w:val="24"/>
                <w:szCs w:val="24"/>
              </w:rPr>
              <w:t>ebolinha,</w:t>
            </w:r>
            <w:r w:rsidR="00233EC1">
              <w:rPr>
                <w:rFonts w:ascii="Verdana" w:hAnsi="Verdana" w:cs="Arial"/>
                <w:sz w:val="24"/>
                <w:szCs w:val="24"/>
              </w:rPr>
              <w:t xml:space="preserve"> a</w:t>
            </w:r>
            <w:r w:rsidRPr="00233EC1">
              <w:rPr>
                <w:rFonts w:ascii="Verdana" w:hAnsi="Verdana" w:cs="Arial"/>
                <w:sz w:val="24"/>
                <w:szCs w:val="24"/>
              </w:rPr>
              <w:t>lface</w:t>
            </w:r>
            <w:r w:rsidR="00AF3DD2" w:rsidRPr="00233EC1">
              <w:rPr>
                <w:rFonts w:ascii="Verdana" w:hAnsi="Verdana" w:cs="Arial"/>
                <w:sz w:val="24"/>
                <w:szCs w:val="24"/>
              </w:rPr>
              <w:t xml:space="preserve"> (mudas com trinta dias)</w:t>
            </w:r>
            <w:r w:rsidR="00233EC1">
              <w:rPr>
                <w:rFonts w:ascii="Verdana" w:hAnsi="Verdana" w:cs="Arial"/>
                <w:sz w:val="24"/>
                <w:szCs w:val="24"/>
              </w:rPr>
              <w:t xml:space="preserve"> e c</w:t>
            </w:r>
            <w:r w:rsidRPr="00233EC1">
              <w:rPr>
                <w:rFonts w:ascii="Verdana" w:hAnsi="Verdana" w:cs="Arial"/>
                <w:sz w:val="24"/>
                <w:szCs w:val="24"/>
              </w:rPr>
              <w:t xml:space="preserve">oentro. O principal objetivo </w:t>
            </w:r>
            <w:r w:rsidR="00233EC1">
              <w:rPr>
                <w:rFonts w:ascii="Verdana" w:hAnsi="Verdana" w:cs="Arial"/>
                <w:sz w:val="24"/>
                <w:szCs w:val="24"/>
              </w:rPr>
              <w:t>dessa aná</w:t>
            </w:r>
            <w:r w:rsidRPr="00233EC1">
              <w:rPr>
                <w:rFonts w:ascii="Verdana" w:hAnsi="Verdana" w:cs="Arial"/>
                <w:sz w:val="24"/>
                <w:szCs w:val="24"/>
              </w:rPr>
              <w:t>lise</w:t>
            </w:r>
            <w:r w:rsidR="00233EC1">
              <w:rPr>
                <w:rFonts w:ascii="Verdana" w:hAnsi="Verdana" w:cs="Arial"/>
                <w:sz w:val="24"/>
                <w:szCs w:val="24"/>
              </w:rPr>
              <w:t xml:space="preserve"> comparativa foi</w:t>
            </w:r>
            <w:r w:rsidRPr="00233EC1">
              <w:rPr>
                <w:rFonts w:ascii="Verdana" w:hAnsi="Verdana" w:cs="Arial"/>
                <w:sz w:val="24"/>
                <w:szCs w:val="24"/>
              </w:rPr>
              <w:t xml:space="preserve"> observar a diferença do</w:t>
            </w:r>
            <w:r w:rsidR="003C7CA0" w:rsidRPr="00233EC1">
              <w:rPr>
                <w:rFonts w:ascii="Verdana" w:hAnsi="Verdana" w:cs="Arial"/>
                <w:sz w:val="24"/>
                <w:szCs w:val="24"/>
              </w:rPr>
              <w:t xml:space="preserve"> consumo de água </w:t>
            </w:r>
            <w:r w:rsidRPr="00233EC1">
              <w:rPr>
                <w:rFonts w:ascii="Verdana" w:hAnsi="Verdana" w:cs="Arial"/>
                <w:sz w:val="24"/>
                <w:szCs w:val="24"/>
              </w:rPr>
              <w:t>d</w:t>
            </w:r>
            <w:r w:rsidR="003C7CA0" w:rsidRPr="00233EC1">
              <w:rPr>
                <w:rFonts w:ascii="Verdana" w:hAnsi="Verdana" w:cs="Arial"/>
                <w:sz w:val="24"/>
                <w:szCs w:val="24"/>
              </w:rPr>
              <w:t>as culturas nas duas situações para mostrar se realmente er</w:t>
            </w:r>
            <w:r w:rsidR="00233EC1">
              <w:rPr>
                <w:rFonts w:ascii="Verdana" w:hAnsi="Verdana" w:cs="Arial"/>
                <w:sz w:val="24"/>
                <w:szCs w:val="24"/>
              </w:rPr>
              <w:t xml:space="preserve">a viável a instalação de </w:t>
            </w:r>
            <w:proofErr w:type="spellStart"/>
            <w:r w:rsidR="00233EC1">
              <w:rPr>
                <w:rFonts w:ascii="Verdana" w:hAnsi="Verdana" w:cs="Arial"/>
                <w:sz w:val="24"/>
                <w:szCs w:val="24"/>
              </w:rPr>
              <w:t>sombrites</w:t>
            </w:r>
            <w:proofErr w:type="spellEnd"/>
            <w:r w:rsidR="003C7CA0" w:rsidRPr="00233EC1">
              <w:rPr>
                <w:rFonts w:ascii="Verdana" w:hAnsi="Verdana" w:cs="Arial"/>
                <w:sz w:val="24"/>
                <w:szCs w:val="24"/>
              </w:rPr>
              <w:t xml:space="preserve"> em sistemas simplificados.</w:t>
            </w:r>
          </w:p>
          <w:p w:rsidR="00FA30E6" w:rsidRPr="00233EC1" w:rsidRDefault="00132B59" w:rsidP="003E4575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Durante </w:t>
            </w:r>
            <w:proofErr w:type="gramStart"/>
            <w:r>
              <w:rPr>
                <w:rFonts w:ascii="Verdana" w:hAnsi="Verdana" w:cs="Arial"/>
                <w:sz w:val="24"/>
                <w:szCs w:val="24"/>
              </w:rPr>
              <w:t>a analise</w:t>
            </w:r>
            <w:proofErr w:type="gramEnd"/>
            <w:r>
              <w:rPr>
                <w:rFonts w:ascii="Verdana" w:hAnsi="Verdana" w:cs="Arial"/>
                <w:sz w:val="24"/>
                <w:szCs w:val="24"/>
              </w:rPr>
              <w:t xml:space="preserve"> também foram produzidos e aplicados de defensivos naturais nas hortaliças, p</w:t>
            </w:r>
            <w:r w:rsidR="00FA30E6" w:rsidRPr="00233EC1">
              <w:rPr>
                <w:rFonts w:ascii="Verdana" w:hAnsi="Verdana" w:cs="Arial"/>
                <w:sz w:val="24"/>
                <w:szCs w:val="24"/>
              </w:rPr>
              <w:t xml:space="preserve">ara prevenir o ataque de insetos </w:t>
            </w:r>
            <w:r w:rsidR="00B76492" w:rsidRPr="00233EC1">
              <w:rPr>
                <w:rFonts w:ascii="Verdana" w:hAnsi="Verdana" w:cs="Arial"/>
                <w:sz w:val="24"/>
                <w:szCs w:val="24"/>
              </w:rPr>
              <w:t>e ajudar no desenvolvimento das plantas</w:t>
            </w:r>
            <w:r>
              <w:rPr>
                <w:rFonts w:ascii="Verdana" w:hAnsi="Verdana" w:cs="Arial"/>
                <w:sz w:val="24"/>
                <w:szCs w:val="24"/>
              </w:rPr>
              <w:t xml:space="preserve">. Os </w:t>
            </w:r>
            <w:r w:rsidR="00B76492" w:rsidRPr="00233EC1">
              <w:rPr>
                <w:rFonts w:ascii="Verdana" w:hAnsi="Verdana" w:cs="Arial"/>
                <w:sz w:val="24"/>
                <w:szCs w:val="24"/>
              </w:rPr>
              <w:t>defensivos nat</w:t>
            </w:r>
            <w:r>
              <w:rPr>
                <w:rFonts w:ascii="Verdana" w:hAnsi="Verdana" w:cs="Arial"/>
                <w:sz w:val="24"/>
                <w:szCs w:val="24"/>
              </w:rPr>
              <w:t>urais foram feitos a</w:t>
            </w:r>
            <w:r w:rsidR="003C7CA0" w:rsidRPr="00233EC1">
              <w:rPr>
                <w:rFonts w:ascii="Verdana" w:hAnsi="Verdana" w:cs="Arial"/>
                <w:sz w:val="24"/>
                <w:szCs w:val="24"/>
              </w:rPr>
              <w:t xml:space="preserve"> base de cinza e angico.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BC4206" w:rsidRPr="00233EC1">
              <w:rPr>
                <w:rFonts w:ascii="Verdana" w:hAnsi="Verdana" w:cs="Arial"/>
                <w:sz w:val="24"/>
                <w:szCs w:val="24"/>
              </w:rPr>
              <w:t>A</w:t>
            </w:r>
            <w:r w:rsidR="00B76492" w:rsidRPr="00233EC1">
              <w:rPr>
                <w:rFonts w:ascii="Verdana" w:hAnsi="Verdana" w:cs="Arial"/>
                <w:sz w:val="24"/>
                <w:szCs w:val="24"/>
              </w:rPr>
              <w:t xml:space="preserve">pós </w:t>
            </w:r>
            <w:proofErr w:type="gramStart"/>
            <w:r w:rsidR="00B76492" w:rsidRPr="00233EC1">
              <w:rPr>
                <w:rFonts w:ascii="Verdana" w:hAnsi="Verdana" w:cs="Arial"/>
                <w:sz w:val="24"/>
                <w:szCs w:val="24"/>
              </w:rPr>
              <w:lastRenderedPageBreak/>
              <w:t>8</w:t>
            </w:r>
            <w:proofErr w:type="gramEnd"/>
            <w:r w:rsidR="00B76492" w:rsidRPr="00233EC1">
              <w:rPr>
                <w:rFonts w:ascii="Verdana" w:hAnsi="Verdana" w:cs="Arial"/>
                <w:sz w:val="24"/>
                <w:szCs w:val="24"/>
              </w:rPr>
              <w:t xml:space="preserve"> dias de plantio foram feitas pulverizações a base de cinza, aplicadas da seguinte maneira: um litro da cinza liquida em 20 litros de água. A cinza por ser rica em minerais produzidos a</w:t>
            </w:r>
            <w:r w:rsidR="00E54B25" w:rsidRPr="00233EC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B76492" w:rsidRPr="00233EC1">
              <w:rPr>
                <w:rFonts w:ascii="Verdana" w:hAnsi="Verdana" w:cs="Arial"/>
                <w:sz w:val="24"/>
                <w:szCs w:val="24"/>
              </w:rPr>
              <w:t>partir da queima da madeira atua como adubo foliar e</w:t>
            </w:r>
            <w:r w:rsidR="00E54B25" w:rsidRPr="00233EC1">
              <w:rPr>
                <w:rFonts w:ascii="Verdana" w:hAnsi="Verdana" w:cs="Arial"/>
                <w:sz w:val="24"/>
                <w:szCs w:val="24"/>
              </w:rPr>
              <w:t xml:space="preserve"> repelente contra lagartas e vaquinhas.</w:t>
            </w:r>
            <w:r w:rsidR="00B76492" w:rsidRPr="00233EC1">
              <w:rPr>
                <w:rFonts w:ascii="Verdana" w:hAnsi="Verdana" w:cs="Arial"/>
                <w:sz w:val="24"/>
                <w:szCs w:val="24"/>
              </w:rPr>
              <w:t xml:space="preserve"> Com 16 </w:t>
            </w:r>
            <w:r w:rsidR="006D2832" w:rsidRPr="00233EC1">
              <w:rPr>
                <w:rFonts w:ascii="Verdana" w:hAnsi="Verdana" w:cs="Arial"/>
                <w:sz w:val="24"/>
                <w:szCs w:val="24"/>
              </w:rPr>
              <w:t xml:space="preserve">e 21 </w:t>
            </w:r>
            <w:r w:rsidR="00B76492" w:rsidRPr="00233EC1">
              <w:rPr>
                <w:rFonts w:ascii="Verdana" w:hAnsi="Verdana" w:cs="Arial"/>
                <w:sz w:val="24"/>
                <w:szCs w:val="24"/>
              </w:rPr>
              <w:t xml:space="preserve">dias de plantio </w:t>
            </w:r>
            <w:proofErr w:type="gramStart"/>
            <w:r w:rsidR="00B76492" w:rsidRPr="00233EC1">
              <w:rPr>
                <w:rFonts w:ascii="Verdana" w:hAnsi="Verdana" w:cs="Arial"/>
                <w:sz w:val="24"/>
                <w:szCs w:val="24"/>
              </w:rPr>
              <w:t>foram</w:t>
            </w:r>
            <w:proofErr w:type="gramEnd"/>
            <w:r w:rsidR="00B76492" w:rsidRPr="00233EC1">
              <w:rPr>
                <w:rFonts w:ascii="Verdana" w:hAnsi="Verdana" w:cs="Arial"/>
                <w:sz w:val="24"/>
                <w:szCs w:val="24"/>
              </w:rPr>
              <w:t xml:space="preserve"> aplicados defensivos naturais a base </w:t>
            </w:r>
            <w:r w:rsidR="00AD653F" w:rsidRPr="00233EC1">
              <w:rPr>
                <w:rFonts w:ascii="Verdana" w:hAnsi="Verdana" w:cs="Arial"/>
                <w:sz w:val="24"/>
                <w:szCs w:val="24"/>
              </w:rPr>
              <w:t xml:space="preserve">de angico, que foram aplicadas da seguinte maneira um litro de água de cascas de angico em 15 litros de água como </w:t>
            </w:r>
            <w:r w:rsidR="00AF3DD2" w:rsidRPr="00233EC1">
              <w:rPr>
                <w:rFonts w:ascii="Verdana" w:hAnsi="Verdana" w:cs="Arial"/>
                <w:sz w:val="24"/>
                <w:szCs w:val="24"/>
              </w:rPr>
              <w:t>forma de afastar pulgões, lagartas, formigas entre outros.</w:t>
            </w:r>
            <w:r w:rsidR="00ED39C2" w:rsidRPr="00233EC1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:rsidR="00953881" w:rsidRPr="00233EC1" w:rsidRDefault="006D2832" w:rsidP="003E4575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233EC1">
              <w:rPr>
                <w:rFonts w:ascii="Verdana" w:hAnsi="Verdana" w:cs="Arial"/>
                <w:sz w:val="24"/>
                <w:szCs w:val="24"/>
              </w:rPr>
              <w:t>Como forma de evitar ainda mais o ataque de pragas nas lavouras foram cria</w:t>
            </w:r>
            <w:r w:rsidR="00240763" w:rsidRPr="00233EC1">
              <w:rPr>
                <w:rFonts w:ascii="Verdana" w:hAnsi="Verdana" w:cs="Arial"/>
                <w:sz w:val="24"/>
                <w:szCs w:val="24"/>
              </w:rPr>
              <w:t>das armadilhas com garrafas pet com líquidos a base de açúcar para atrair os insetos e evitar que eles</w:t>
            </w:r>
            <w:r w:rsidR="003C7CA0" w:rsidRPr="00233EC1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240763" w:rsidRPr="00233EC1">
              <w:rPr>
                <w:rFonts w:ascii="Verdana" w:hAnsi="Verdana" w:cs="Arial"/>
                <w:sz w:val="24"/>
                <w:szCs w:val="24"/>
              </w:rPr>
              <w:t>ataquem as plantas.</w:t>
            </w:r>
          </w:p>
          <w:p w:rsidR="009E5C57" w:rsidRPr="00233EC1" w:rsidRDefault="00953881" w:rsidP="003E4575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233EC1">
              <w:rPr>
                <w:rFonts w:ascii="Verdana" w:hAnsi="Verdana" w:cs="Arial"/>
                <w:b/>
                <w:sz w:val="24"/>
                <w:szCs w:val="24"/>
              </w:rPr>
              <w:t>Observação</w:t>
            </w:r>
            <w:r w:rsidR="00851C03" w:rsidRPr="00233EC1">
              <w:rPr>
                <w:rFonts w:ascii="Verdana" w:hAnsi="Verdana" w:cs="Arial"/>
                <w:b/>
                <w:sz w:val="24"/>
                <w:szCs w:val="24"/>
              </w:rPr>
              <w:t>:</w:t>
            </w:r>
            <w:r w:rsidRPr="00233EC1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  <w:p w:rsidR="00132B59" w:rsidRDefault="009E5C57" w:rsidP="003E4575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233EC1">
              <w:rPr>
                <w:rFonts w:ascii="Verdana" w:hAnsi="Verdana" w:cs="Arial"/>
                <w:sz w:val="24"/>
                <w:szCs w:val="24"/>
              </w:rPr>
              <w:t>Estudos mostram que o</w:t>
            </w:r>
            <w:r w:rsidR="00953881" w:rsidRPr="00233EC1">
              <w:rPr>
                <w:rFonts w:ascii="Verdana" w:hAnsi="Verdana" w:cs="Arial"/>
                <w:sz w:val="24"/>
                <w:szCs w:val="24"/>
              </w:rPr>
              <w:t xml:space="preserve"> canteiro econômico consome </w:t>
            </w:r>
            <w:r w:rsidR="00132B59">
              <w:rPr>
                <w:rFonts w:ascii="Verdana" w:hAnsi="Verdana" w:cs="Arial"/>
                <w:sz w:val="24"/>
                <w:szCs w:val="24"/>
              </w:rPr>
              <w:t>80 litros de água semanais</w:t>
            </w:r>
            <w:r w:rsidR="00953881" w:rsidRPr="00233EC1">
              <w:rPr>
                <w:rFonts w:ascii="Verdana" w:hAnsi="Verdana" w:cs="Arial"/>
                <w:sz w:val="24"/>
                <w:szCs w:val="24"/>
              </w:rPr>
              <w:t xml:space="preserve"> sem o </w:t>
            </w:r>
            <w:proofErr w:type="spellStart"/>
            <w:r w:rsidR="00953881" w:rsidRPr="00233EC1">
              <w:rPr>
                <w:rFonts w:ascii="Verdana" w:hAnsi="Verdana" w:cs="Arial"/>
                <w:sz w:val="24"/>
                <w:szCs w:val="24"/>
              </w:rPr>
              <w:t>sombrit</w:t>
            </w:r>
            <w:r w:rsidR="00132B59">
              <w:rPr>
                <w:rFonts w:ascii="Verdana" w:hAnsi="Verdana" w:cs="Arial"/>
                <w:sz w:val="24"/>
                <w:szCs w:val="24"/>
              </w:rPr>
              <w:t>e</w:t>
            </w:r>
            <w:proofErr w:type="spellEnd"/>
            <w:r w:rsidR="00132B59">
              <w:rPr>
                <w:rFonts w:ascii="Verdana" w:hAnsi="Verdana" w:cs="Arial"/>
                <w:sz w:val="24"/>
                <w:szCs w:val="24"/>
              </w:rPr>
              <w:t>.</w:t>
            </w:r>
            <w:r w:rsidR="00996828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132B59">
              <w:rPr>
                <w:rFonts w:ascii="Verdana" w:hAnsi="Verdana" w:cs="Arial"/>
                <w:sz w:val="24"/>
                <w:szCs w:val="24"/>
              </w:rPr>
              <w:t xml:space="preserve">Avalia-se que o agricultor ultrapassou a </w:t>
            </w:r>
            <w:r w:rsidR="00996828">
              <w:rPr>
                <w:rFonts w:ascii="Verdana" w:hAnsi="Verdana" w:cs="Arial"/>
                <w:sz w:val="24"/>
                <w:szCs w:val="24"/>
              </w:rPr>
              <w:t>média (</w:t>
            </w:r>
            <w:r w:rsidR="00132B59">
              <w:rPr>
                <w:rFonts w:ascii="Verdana" w:hAnsi="Verdana" w:cs="Arial"/>
                <w:sz w:val="24"/>
                <w:szCs w:val="24"/>
              </w:rPr>
              <w:t>80 litros)</w:t>
            </w:r>
            <w:r w:rsidR="00996828">
              <w:rPr>
                <w:rFonts w:ascii="Verdana" w:hAnsi="Verdana" w:cs="Arial"/>
                <w:sz w:val="24"/>
                <w:szCs w:val="24"/>
              </w:rPr>
              <w:t xml:space="preserve"> para 130 litros, estima-se que essa diferença deu-se devido dois aspectos:</w:t>
            </w:r>
          </w:p>
          <w:p w:rsidR="00996828" w:rsidRDefault="00996828" w:rsidP="003E4575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1 – </w:t>
            </w:r>
            <w:r w:rsidR="00DB55BE">
              <w:rPr>
                <w:rFonts w:ascii="Verdana" w:hAnsi="Verdana" w:cs="Arial"/>
                <w:sz w:val="24"/>
                <w:szCs w:val="24"/>
              </w:rPr>
              <w:t>Devid</w:t>
            </w:r>
            <w:r w:rsidR="00C82C20">
              <w:rPr>
                <w:rFonts w:ascii="Verdana" w:hAnsi="Verdana" w:cs="Arial"/>
                <w:sz w:val="24"/>
                <w:szCs w:val="24"/>
              </w:rPr>
              <w:t>o</w:t>
            </w:r>
            <w:r w:rsidR="00DB55BE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gramStart"/>
            <w:r w:rsidR="00DB55BE">
              <w:rPr>
                <w:rFonts w:ascii="Verdana" w:hAnsi="Verdana" w:cs="Arial"/>
                <w:sz w:val="24"/>
                <w:szCs w:val="24"/>
              </w:rPr>
              <w:t>a</w:t>
            </w:r>
            <w:proofErr w:type="gramEnd"/>
            <w:r w:rsidR="00DB55BE">
              <w:rPr>
                <w:rFonts w:ascii="Verdana" w:hAnsi="Verdana" w:cs="Arial"/>
                <w:sz w:val="24"/>
                <w:szCs w:val="24"/>
              </w:rPr>
              <w:t xml:space="preserve"> necessidade de </w:t>
            </w:r>
            <w:r>
              <w:rPr>
                <w:rFonts w:ascii="Verdana" w:hAnsi="Verdana" w:cs="Arial"/>
                <w:sz w:val="24"/>
                <w:szCs w:val="24"/>
              </w:rPr>
              <w:t>Utilização do regador na primeira semana após o plantio</w:t>
            </w:r>
            <w:r w:rsidR="00DB55BE">
              <w:rPr>
                <w:rFonts w:ascii="Verdana" w:hAnsi="Verdana" w:cs="Arial"/>
                <w:sz w:val="24"/>
                <w:szCs w:val="24"/>
              </w:rPr>
              <w:t>.</w:t>
            </w:r>
          </w:p>
          <w:p w:rsidR="00996828" w:rsidRPr="00233EC1" w:rsidRDefault="00996828" w:rsidP="003E4575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2 - V</w:t>
            </w:r>
            <w:r w:rsidR="009E5C57" w:rsidRPr="00233EC1">
              <w:rPr>
                <w:rFonts w:ascii="Verdana" w:hAnsi="Verdana" w:cs="Arial"/>
                <w:sz w:val="24"/>
                <w:szCs w:val="24"/>
              </w:rPr>
              <w:t>olume excessivo</w:t>
            </w:r>
            <w:r>
              <w:rPr>
                <w:rFonts w:ascii="Verdana" w:hAnsi="Verdana" w:cs="Arial"/>
                <w:sz w:val="24"/>
                <w:szCs w:val="24"/>
              </w:rPr>
              <w:t xml:space="preserve"> de água</w:t>
            </w:r>
            <w:r w:rsidR="00953881" w:rsidRPr="00233EC1">
              <w:rPr>
                <w:rFonts w:ascii="Verdana" w:hAnsi="Verdana" w:cs="Arial"/>
                <w:sz w:val="24"/>
                <w:szCs w:val="24"/>
              </w:rPr>
              <w:t xml:space="preserve"> nos canteiros</w:t>
            </w:r>
            <w:r>
              <w:rPr>
                <w:rFonts w:ascii="Verdana" w:hAnsi="Verdana" w:cs="Arial"/>
                <w:sz w:val="24"/>
                <w:szCs w:val="24"/>
              </w:rPr>
              <w:t xml:space="preserve"> utilizando o regador ao invés de irrigar no cano como orientado.</w:t>
            </w:r>
          </w:p>
          <w:p w:rsidR="00FA30E6" w:rsidRPr="00233EC1" w:rsidRDefault="00EB0A1F" w:rsidP="0099682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33EC1">
              <w:rPr>
                <w:rFonts w:ascii="Verdana" w:hAnsi="Verdana" w:cs="Arial"/>
                <w:sz w:val="24"/>
                <w:szCs w:val="24"/>
              </w:rPr>
              <w:t xml:space="preserve">Teixeira – PB 09 </w:t>
            </w:r>
            <w:r w:rsidR="009E5C57" w:rsidRPr="00233EC1">
              <w:rPr>
                <w:rFonts w:ascii="Verdana" w:hAnsi="Verdana" w:cs="Arial"/>
                <w:sz w:val="24"/>
                <w:szCs w:val="24"/>
              </w:rPr>
              <w:t>de Julho</w:t>
            </w:r>
            <w:r w:rsidR="00FA30E6" w:rsidRPr="00233EC1">
              <w:rPr>
                <w:rFonts w:ascii="Verdana" w:hAnsi="Verdana" w:cs="Arial"/>
                <w:sz w:val="24"/>
                <w:szCs w:val="24"/>
              </w:rPr>
              <w:t xml:space="preserve"> de </w:t>
            </w:r>
            <w:r w:rsidR="009E5C57" w:rsidRPr="00233EC1">
              <w:rPr>
                <w:rFonts w:ascii="Verdana" w:hAnsi="Verdana" w:cs="Arial"/>
                <w:sz w:val="24"/>
                <w:szCs w:val="24"/>
              </w:rPr>
              <w:t>2015.</w:t>
            </w:r>
          </w:p>
          <w:p w:rsidR="00FA30E6" w:rsidRPr="00233EC1" w:rsidRDefault="00FA30E6" w:rsidP="003E4575">
            <w:pPr>
              <w:rPr>
                <w:rFonts w:ascii="Verdana" w:hAnsi="Verdana" w:cs="Arial"/>
                <w:sz w:val="24"/>
                <w:szCs w:val="24"/>
              </w:rPr>
            </w:pPr>
          </w:p>
          <w:p w:rsidR="00FA30E6" w:rsidRPr="00233EC1" w:rsidRDefault="00FA30E6" w:rsidP="003E4575">
            <w:pPr>
              <w:rPr>
                <w:rFonts w:ascii="Verdana" w:hAnsi="Verdana" w:cs="Arial"/>
                <w:sz w:val="24"/>
                <w:szCs w:val="24"/>
              </w:rPr>
            </w:pPr>
          </w:p>
          <w:p w:rsidR="00996828" w:rsidRPr="00233EC1" w:rsidRDefault="00DB55BE" w:rsidP="003E4575">
            <w:pPr>
              <w:spacing w:after="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2422525</wp:posOffset>
                  </wp:positionH>
                  <wp:positionV relativeFrom="margin">
                    <wp:posOffset>5199380</wp:posOffset>
                  </wp:positionV>
                  <wp:extent cx="1552575" cy="742950"/>
                  <wp:effectExtent l="19050" t="0" r="9525" b="0"/>
                  <wp:wrapSquare wrapText="bothSides"/>
                  <wp:docPr id="1" name="Imagem 1" descr="D:\Documents and Settings\PC\Meus documentos\Minhas imagens\cotação 008 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:\Documents and Settings\PC\Meus documentos\Minhas imagens\cotação 008 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4295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30E6" w:rsidRPr="00233EC1" w:rsidRDefault="00FA30E6" w:rsidP="003E4575">
            <w:pPr>
              <w:spacing w:after="0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:rsidR="00FA30E6" w:rsidRPr="00233EC1" w:rsidRDefault="00FA30E6" w:rsidP="003E4575">
            <w:pPr>
              <w:spacing w:after="0"/>
              <w:jc w:val="center"/>
              <w:rPr>
                <w:rFonts w:ascii="Verdana" w:hAnsi="Verdana" w:cs="Arial"/>
                <w:sz w:val="24"/>
                <w:szCs w:val="24"/>
              </w:rPr>
            </w:pPr>
            <w:proofErr w:type="spellStart"/>
            <w:r w:rsidRPr="00233EC1">
              <w:rPr>
                <w:rFonts w:ascii="Verdana" w:hAnsi="Verdana" w:cs="Arial"/>
                <w:sz w:val="24"/>
                <w:szCs w:val="24"/>
              </w:rPr>
              <w:t>Adailson</w:t>
            </w:r>
            <w:proofErr w:type="spellEnd"/>
            <w:r w:rsidRPr="00233EC1">
              <w:rPr>
                <w:rFonts w:ascii="Verdana" w:hAnsi="Verdana" w:cs="Arial"/>
                <w:sz w:val="24"/>
                <w:szCs w:val="24"/>
              </w:rPr>
              <w:t xml:space="preserve"> Nunes Vital</w:t>
            </w:r>
          </w:p>
          <w:p w:rsidR="00FA30E6" w:rsidRPr="00233EC1" w:rsidRDefault="00FA30E6" w:rsidP="003E4575">
            <w:pPr>
              <w:spacing w:after="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33EC1">
              <w:rPr>
                <w:rFonts w:ascii="Verdana" w:hAnsi="Verdana" w:cs="Arial"/>
                <w:sz w:val="24"/>
                <w:szCs w:val="24"/>
              </w:rPr>
              <w:t>Agente Educador</w:t>
            </w:r>
          </w:p>
          <w:p w:rsidR="00FA30E6" w:rsidRPr="00233EC1" w:rsidRDefault="00FA30E6" w:rsidP="003E4575">
            <w:pPr>
              <w:spacing w:after="0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:rsidR="00FA30E6" w:rsidRPr="00233EC1" w:rsidRDefault="00FA30E6" w:rsidP="003E4575">
            <w:pPr>
              <w:spacing w:after="0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:rsidR="00FA30E6" w:rsidRPr="00233EC1" w:rsidRDefault="00FA30E6" w:rsidP="003E4575">
            <w:pPr>
              <w:spacing w:after="0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:rsidR="00FA30E6" w:rsidRPr="00233EC1" w:rsidRDefault="00FA30E6" w:rsidP="003E4575">
            <w:pPr>
              <w:spacing w:after="0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:rsidR="00FA30E6" w:rsidRPr="00233EC1" w:rsidRDefault="00FA30E6" w:rsidP="003E4575">
            <w:pPr>
              <w:spacing w:after="0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:rsidR="00FA30E6" w:rsidRPr="00233EC1" w:rsidRDefault="00FA30E6" w:rsidP="003E4575">
            <w:pPr>
              <w:spacing w:after="0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1009E1" w:rsidRPr="00233EC1" w:rsidRDefault="001009E1" w:rsidP="003E4575">
      <w:pPr>
        <w:rPr>
          <w:rFonts w:ascii="Verdana" w:hAnsi="Verdana"/>
        </w:rPr>
      </w:pPr>
    </w:p>
    <w:sectPr w:rsidR="001009E1" w:rsidRPr="00233EC1" w:rsidSect="001009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A30E6"/>
    <w:rsid w:val="000312F4"/>
    <w:rsid w:val="000535C0"/>
    <w:rsid w:val="000F4185"/>
    <w:rsid w:val="001009E1"/>
    <w:rsid w:val="00132B59"/>
    <w:rsid w:val="00233EC1"/>
    <w:rsid w:val="00240763"/>
    <w:rsid w:val="002D3E54"/>
    <w:rsid w:val="002E1F33"/>
    <w:rsid w:val="003C7CA0"/>
    <w:rsid w:val="003D6376"/>
    <w:rsid w:val="003E4575"/>
    <w:rsid w:val="00484090"/>
    <w:rsid w:val="00487C02"/>
    <w:rsid w:val="004E42BA"/>
    <w:rsid w:val="0052073D"/>
    <w:rsid w:val="005D4781"/>
    <w:rsid w:val="00661103"/>
    <w:rsid w:val="006C17A8"/>
    <w:rsid w:val="006D2832"/>
    <w:rsid w:val="00851C03"/>
    <w:rsid w:val="00953881"/>
    <w:rsid w:val="00996828"/>
    <w:rsid w:val="009E5C57"/>
    <w:rsid w:val="00A81242"/>
    <w:rsid w:val="00AB6762"/>
    <w:rsid w:val="00AD653F"/>
    <w:rsid w:val="00AF3DD2"/>
    <w:rsid w:val="00B6189D"/>
    <w:rsid w:val="00B76492"/>
    <w:rsid w:val="00BC4206"/>
    <w:rsid w:val="00C82C20"/>
    <w:rsid w:val="00CD104A"/>
    <w:rsid w:val="00D132AB"/>
    <w:rsid w:val="00D73725"/>
    <w:rsid w:val="00DB55BE"/>
    <w:rsid w:val="00E54B25"/>
    <w:rsid w:val="00EB0A1F"/>
    <w:rsid w:val="00ED39C2"/>
    <w:rsid w:val="00F423BA"/>
    <w:rsid w:val="00F66533"/>
    <w:rsid w:val="00FA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E6"/>
    <w:pPr>
      <w:ind w:firstLine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Adailson</dc:creator>
  <cp:lastModifiedBy>CEPFS</cp:lastModifiedBy>
  <cp:revision>2</cp:revision>
  <dcterms:created xsi:type="dcterms:W3CDTF">2017-05-09T20:14:00Z</dcterms:created>
  <dcterms:modified xsi:type="dcterms:W3CDTF">2017-05-09T20:14:00Z</dcterms:modified>
</cp:coreProperties>
</file>